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rPr>
          <w:rFonts w:ascii="微软雅黑" w:hAnsi="微软雅黑" w:eastAsia="微软雅黑" w:cs="微软雅黑"/>
          <w:b/>
          <w:color w:val="0A1220"/>
          <w:sz w:val="30"/>
          <w:highlight w:val="white"/>
        </w:rPr>
      </w:pPr>
      <w:bookmarkStart w:id="0" w:name="1270-1593409541577"/>
      <w:bookmarkEnd w:id="0"/>
      <w:r>
        <w:rPr>
          <w:rFonts w:ascii="微软雅黑" w:hAnsi="微软雅黑" w:eastAsia="微软雅黑" w:cs="微软雅黑"/>
          <w:b/>
          <w:color w:val="0A1220"/>
          <w:sz w:val="30"/>
          <w:highlight w:val="white"/>
        </w:rPr>
        <w:t>一、业务背景</w:t>
      </w:r>
    </w:p>
    <w:p>
      <w:bookmarkStart w:id="1" w:name="8578-1593405282741"/>
      <w:bookmarkEnd w:id="1"/>
      <w:r>
        <w:rPr>
          <w:color w:val="0A1220"/>
          <w:sz w:val="24"/>
          <w:highlight w:val="white"/>
        </w:rPr>
        <w:t>化工行业采购分析案例。对于采购考评来讲，有三点是至关重要的：</w:t>
      </w:r>
      <w:r>
        <w:rPr>
          <w:color w:val="0A1220"/>
          <w:sz w:val="24"/>
          <w:highlight w:val="white"/>
        </w:rPr>
        <w:tab/>
      </w:r>
    </w:p>
    <w:p>
      <w:bookmarkStart w:id="2" w:name="8031-1593405282741"/>
      <w:bookmarkEnd w:id="2"/>
      <w:r>
        <w:rPr>
          <w:color w:val="0A1220"/>
          <w:sz w:val="24"/>
          <w:highlight w:val="white"/>
        </w:rPr>
        <w:t>第一：跟踪采购进度，保证到货及时率，保证生产计划的执行。</w:t>
      </w:r>
    </w:p>
    <w:p>
      <w:bookmarkStart w:id="3" w:name="3780-1593405282741"/>
      <w:bookmarkEnd w:id="3"/>
      <w:r>
        <w:rPr>
          <w:color w:val="0A1220"/>
          <w:sz w:val="24"/>
          <w:highlight w:val="white"/>
        </w:rPr>
        <w:t>第二：原材料质量控制，保证原料质量及产品质量。</w:t>
      </w:r>
    </w:p>
    <w:p>
      <w:bookmarkStart w:id="4" w:name="8780-1593405282741"/>
      <w:bookmarkEnd w:id="4"/>
      <w:r>
        <w:rPr>
          <w:color w:val="0A1220"/>
          <w:sz w:val="24"/>
          <w:highlight w:val="white"/>
        </w:rPr>
        <w:t>第三：控制采购成本，降本增质提效</w:t>
      </w:r>
    </w:p>
    <w:p>
      <w:bookmarkStart w:id="5" w:name="8754-1593413495337"/>
      <w:bookmarkEnd w:id="5"/>
    </w:p>
    <w:p>
      <w:pPr>
        <w:spacing w:before="0" w:after="0" w:line="240" w:lineRule="auto"/>
      </w:pPr>
      <w:bookmarkStart w:id="6" w:name="9061-1593405467382"/>
      <w:bookmarkEnd w:id="6"/>
      <w:r>
        <w:rPr>
          <w:rFonts w:ascii="微软雅黑" w:hAnsi="微软雅黑" w:eastAsia="微软雅黑" w:cs="微软雅黑"/>
          <w:b/>
          <w:color w:val="0A1220"/>
          <w:sz w:val="30"/>
          <w:highlight w:val="white"/>
        </w:rPr>
        <w:t>二、数据拆分建模</w:t>
      </w:r>
    </w:p>
    <w:p>
      <w:bookmarkStart w:id="7" w:name="7510-1593405434616"/>
      <w:bookmarkEnd w:id="7"/>
      <w:r>
        <w:rPr>
          <w:color w:val="0A1220"/>
          <w:sz w:val="24"/>
          <w:highlight w:val="white"/>
        </w:rPr>
        <w:t>结合以上指标，重点关注以下几组数据：</w:t>
      </w:r>
    </w:p>
    <w:p>
      <w:pPr>
        <w:numPr>
          <w:ilvl w:val="0"/>
          <w:numId w:val="1"/>
        </w:numPr>
        <w:spacing w:line="240" w:lineRule="auto"/>
      </w:pPr>
      <w:bookmarkStart w:id="8" w:name="7253-1593413497205"/>
      <w:bookmarkEnd w:id="8"/>
      <w:r>
        <w:rPr>
          <w:sz w:val="24"/>
        </w:rPr>
        <w:t>平均采购金额</w:t>
      </w:r>
    </w:p>
    <w:p>
      <w:pPr>
        <w:numPr>
          <w:ilvl w:val="0"/>
          <w:numId w:val="1"/>
        </w:numPr>
        <w:spacing w:line="240" w:lineRule="auto"/>
      </w:pPr>
      <w:bookmarkStart w:id="9" w:name="3581-1593413497205"/>
      <w:bookmarkEnd w:id="9"/>
      <w:r>
        <w:rPr>
          <w:sz w:val="24"/>
        </w:rPr>
        <w:t>采购量</w:t>
      </w:r>
    </w:p>
    <w:p>
      <w:pPr>
        <w:numPr>
          <w:ilvl w:val="0"/>
          <w:numId w:val="1"/>
        </w:numPr>
        <w:spacing w:line="240" w:lineRule="auto"/>
      </w:pPr>
      <w:bookmarkStart w:id="10" w:name="8632-1593413497205"/>
      <w:bookmarkEnd w:id="10"/>
      <w:r>
        <w:rPr>
          <w:sz w:val="24"/>
        </w:rPr>
        <w:t>采购合格率</w:t>
      </w:r>
    </w:p>
    <w:p>
      <w:pPr>
        <w:numPr>
          <w:ilvl w:val="0"/>
          <w:numId w:val="1"/>
        </w:numPr>
        <w:spacing w:line="240" w:lineRule="auto"/>
      </w:pPr>
      <w:bookmarkStart w:id="11" w:name="6441-1593413497205"/>
      <w:bookmarkEnd w:id="11"/>
      <w:r>
        <w:rPr>
          <w:sz w:val="24"/>
        </w:rPr>
        <w:t>供应提前期</w:t>
      </w:r>
    </w:p>
    <w:p>
      <w:pPr>
        <w:numPr>
          <w:ilvl w:val="0"/>
          <w:numId w:val="1"/>
        </w:numPr>
        <w:spacing w:line="240" w:lineRule="auto"/>
      </w:pPr>
      <w:bookmarkStart w:id="12" w:name="6164-1593413497205"/>
      <w:bookmarkEnd w:id="12"/>
      <w:r>
        <w:rPr>
          <w:sz w:val="24"/>
        </w:rPr>
        <w:t>到货及时率</w:t>
      </w:r>
    </w:p>
    <w:p>
      <w:pPr>
        <w:numPr>
          <w:ilvl w:val="0"/>
          <w:numId w:val="1"/>
        </w:numPr>
        <w:spacing w:line="240" w:lineRule="auto"/>
      </w:pPr>
      <w:bookmarkStart w:id="13" w:name="4241-1593413497205"/>
      <w:bookmarkEnd w:id="13"/>
      <w:r>
        <w:rPr>
          <w:sz w:val="24"/>
        </w:rPr>
        <w:t>到货及时率</w:t>
      </w:r>
    </w:p>
    <w:p>
      <w:pPr>
        <w:spacing w:before="0" w:after="0" w:line="240" w:lineRule="auto"/>
      </w:pPr>
      <w:bookmarkStart w:id="14" w:name="1087-1593405496235"/>
      <w:bookmarkEnd w:id="14"/>
      <w:r>
        <w:rPr>
          <w:rFonts w:ascii="Arial" w:hAnsi="Arial" w:eastAsia="Arial" w:cs="Arial"/>
          <w:b/>
          <w:color w:val="333333"/>
          <w:sz w:val="24"/>
          <w:highlight w:val="white"/>
        </w:rPr>
        <w:t>整理后的关键字段、计算指标和源数据如下：</w:t>
      </w:r>
    </w:p>
    <w:p>
      <w:bookmarkStart w:id="15" w:name="4738-1593405915046"/>
      <w:bookmarkEnd w:id="15"/>
      <w:r>
        <w:rPr>
          <w:rFonts w:ascii="Arial" w:hAnsi="Arial" w:eastAsia="Arial" w:cs="Arial"/>
          <w:b/>
          <w:color w:val="333333"/>
          <w:sz w:val="24"/>
          <w:highlight w:val="white"/>
        </w:rPr>
        <w:t>表名：</w:t>
      </w:r>
    </w:p>
    <w:p>
      <w:bookmarkStart w:id="16" w:name="1566-1593413540298"/>
      <w:bookmarkEnd w:id="16"/>
      <w:r>
        <w:rPr>
          <w:rFonts w:ascii="Arial" w:hAnsi="Arial" w:eastAsia="Arial" w:cs="Arial"/>
          <w:color w:val="333333"/>
          <w:sz w:val="24"/>
          <w:highlight w:val="white"/>
        </w:rPr>
        <w:t>采购数据月度汇总</w:t>
      </w:r>
    </w:p>
    <w:p>
      <w:bookmarkStart w:id="17" w:name="1779-1593413508578"/>
      <w:bookmarkEnd w:id="17"/>
      <w:r>
        <w:rPr>
          <w:rFonts w:ascii="Arial" w:hAnsi="Arial" w:eastAsia="Arial" w:cs="Arial"/>
          <w:b/>
          <w:color w:val="333333"/>
          <w:sz w:val="24"/>
          <w:highlight w:val="white"/>
        </w:rPr>
        <w:t>关键字段：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223"/>
        <w:gridCol w:w="1223"/>
        <w:gridCol w:w="1223"/>
        <w:gridCol w:w="986"/>
        <w:gridCol w:w="1223"/>
        <w:gridCol w:w="1224"/>
        <w:gridCol w:w="1224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00" w:hRule="atLeast"/>
        </w:trPr>
        <w:tc>
          <w:tcPr>
            <w:tcW w:w="1320" w:type="dxa"/>
            <w:vAlign w:val="center"/>
          </w:tcPr>
          <w:p>
            <w:r>
              <w:t>年月</w:t>
            </w:r>
          </w:p>
        </w:tc>
        <w:tc>
          <w:tcPr>
            <w:tcW w:w="1320" w:type="dxa"/>
            <w:vAlign w:val="center"/>
          </w:tcPr>
          <w:p>
            <w:r>
              <w:t>供应商</w:t>
            </w:r>
          </w:p>
        </w:tc>
        <w:tc>
          <w:tcPr>
            <w:tcW w:w="1320" w:type="dxa"/>
            <w:vAlign w:val="center"/>
          </w:tcPr>
          <w:p>
            <w:r>
              <w:t>原料</w:t>
            </w:r>
          </w:p>
        </w:tc>
        <w:tc>
          <w:tcPr>
            <w:tcW w:w="1060" w:type="dxa"/>
            <w:vAlign w:val="center"/>
          </w:tcPr>
          <w:p>
            <w:r>
              <w:t>采购金额</w:t>
            </w:r>
          </w:p>
        </w:tc>
        <w:tc>
          <w:tcPr>
            <w:tcW w:w="1320" w:type="dxa"/>
            <w:vAlign w:val="center"/>
          </w:tcPr>
          <w:p>
            <w:r>
              <w:t>采购量</w:t>
            </w:r>
          </w:p>
        </w:tc>
        <w:tc>
          <w:tcPr>
            <w:tcW w:w="1320" w:type="dxa"/>
            <w:vAlign w:val="center"/>
          </w:tcPr>
          <w:p>
            <w:r>
              <w:t>合格量</w:t>
            </w:r>
          </w:p>
        </w:tc>
        <w:tc>
          <w:tcPr>
            <w:tcW w:w="1320" w:type="dxa"/>
            <w:vAlign w:val="center"/>
          </w:tcPr>
          <w:p>
            <w:r>
              <w:t>及时到货量</w:t>
            </w:r>
          </w:p>
        </w:tc>
      </w:tr>
    </w:tbl>
    <w:p>
      <w:bookmarkStart w:id="18" w:name="6767-1593409533852"/>
      <w:bookmarkEnd w:id="18"/>
      <w:r>
        <w:rPr>
          <w:b/>
          <w:sz w:val="24"/>
        </w:rPr>
        <w:t>计算指标：</w:t>
      </w:r>
    </w:p>
    <w:p>
      <w:bookmarkStart w:id="19" w:name="9449-1593413519362"/>
      <w:bookmarkEnd w:id="19"/>
      <w:r>
        <w:rPr>
          <w:sz w:val="24"/>
        </w:rPr>
        <w:t>及时到货率=sumagg(</w:t>
      </w:r>
      <w:r>
        <w:rPr>
          <w:color w:val="393939"/>
          <w:sz w:val="24"/>
          <w:highlight w:val="white"/>
        </w:rPr>
        <w:t>及时到货量</w:t>
      </w:r>
      <w:r>
        <w:rPr>
          <w:sz w:val="24"/>
        </w:rPr>
        <w:t>)/sumagg(</w:t>
      </w:r>
      <w:r>
        <w:rPr>
          <w:color w:val="393939"/>
          <w:sz w:val="24"/>
          <w:highlight w:val="white"/>
        </w:rPr>
        <w:t>采购量</w:t>
      </w:r>
      <w:r>
        <w:rPr>
          <w:sz w:val="24"/>
        </w:rPr>
        <w:t>)</w:t>
      </w:r>
    </w:p>
    <w:p>
      <w:bookmarkStart w:id="20" w:name="3020-1593413448530"/>
      <w:bookmarkEnd w:id="20"/>
      <w:r>
        <w:rPr>
          <w:sz w:val="24"/>
        </w:rPr>
        <w:t>原料合格率=sumagg(</w:t>
      </w:r>
      <w:r>
        <w:rPr>
          <w:color w:val="393939"/>
          <w:sz w:val="24"/>
          <w:highlight w:val="white"/>
        </w:rPr>
        <w:t>合格量</w:t>
      </w:r>
      <w:r>
        <w:rPr>
          <w:sz w:val="24"/>
        </w:rPr>
        <w:t>)/sumagg(</w:t>
      </w:r>
      <w:r>
        <w:rPr>
          <w:color w:val="393939"/>
          <w:sz w:val="24"/>
          <w:highlight w:val="white"/>
        </w:rPr>
        <w:t>采购量</w:t>
      </w:r>
      <w:r>
        <w:rPr>
          <w:sz w:val="24"/>
        </w:rPr>
        <w:t>)</w:t>
      </w:r>
    </w:p>
    <w:p>
      <w:bookmarkStart w:id="21" w:name="4228-1593413530364"/>
      <w:bookmarkEnd w:id="21"/>
      <w:r>
        <w:rPr>
          <w:b/>
          <w:sz w:val="24"/>
        </w:rPr>
        <w:t>原字段：</w:t>
      </w:r>
    </w:p>
    <w:p>
      <w:bookmarkStart w:id="22" w:name="2459-1593405915046"/>
      <w:bookmarkEnd w:id="22"/>
    </w:p>
    <w:p>
      <w:pPr>
        <w:spacing w:before="0" w:after="0" w:line="240" w:lineRule="auto"/>
      </w:pPr>
      <w:bookmarkStart w:id="23" w:name="2773-1593405907434"/>
      <w:bookmarkEnd w:id="23"/>
      <w:r>
        <w:rPr>
          <w:rFonts w:ascii="微软雅黑" w:hAnsi="微软雅黑" w:eastAsia="微软雅黑" w:cs="微软雅黑"/>
          <w:b/>
          <w:color w:val="0A1220"/>
          <w:sz w:val="30"/>
          <w:highlight w:val="white"/>
        </w:rPr>
        <w:t>三、分析案例</w:t>
      </w:r>
    </w:p>
    <w:p>
      <w:pPr>
        <w:spacing w:before="0" w:after="0" w:line="240" w:lineRule="auto"/>
      </w:pPr>
      <w:bookmarkStart w:id="24" w:name="6749-1593405282741"/>
      <w:bookmarkEnd w:id="24"/>
      <w:r>
        <w:rPr>
          <w:rFonts w:ascii="Arial" w:hAnsi="Arial" w:eastAsia="Arial" w:cs="Arial"/>
          <w:b/>
          <w:color w:val="333333"/>
          <w:sz w:val="24"/>
          <w:highlight w:val="white"/>
        </w:rPr>
        <w:t>1、成本控制分析</w:t>
      </w:r>
    </w:p>
    <w:p>
      <w:pPr>
        <w:spacing w:before="0" w:after="0" w:line="240" w:lineRule="auto"/>
      </w:pPr>
      <w:bookmarkStart w:id="25" w:name="1017-1593409340508"/>
      <w:bookmarkEnd w:id="25"/>
      <w:r>
        <w:rPr>
          <w:rFonts w:ascii="微软雅黑" w:hAnsi="微软雅黑" w:eastAsia="微软雅黑" w:cs="微软雅黑"/>
          <w:b/>
          <w:color w:val="DF402A"/>
          <w:sz w:val="22"/>
        </w:rPr>
        <w:t>该组分析共包含3个组件，用到【采购数据明细表】。整体样式和含义如下（已打码）：</w:t>
      </w:r>
    </w:p>
    <w:p>
      <w:bookmarkStart w:id="26" w:name="9697-1593410022482"/>
      <w:bookmarkEnd w:id="26"/>
      <w:r>
        <w:drawing>
          <wp:inline distT="0" distB="0" distL="0" distR="0">
            <wp:extent cx="5267325" cy="2014220"/>
            <wp:effectExtent l="0" t="0" r="9525" b="5080"/>
            <wp:docPr id="1" name="Drawing 0" descr="clip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 descr="clipboard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27" w:name="1280-1593410022482"/>
      <w:bookmarkEnd w:id="27"/>
      <w:r>
        <w:t xml:space="preserve"> </w:t>
      </w:r>
    </w:p>
    <w:p>
      <w:pPr>
        <w:spacing w:before="0" w:after="0" w:line="240" w:lineRule="auto"/>
      </w:pPr>
      <w:bookmarkStart w:id="28" w:name="2030-1593405282741"/>
      <w:bookmarkEnd w:id="28"/>
      <w:r>
        <w:rPr>
          <w:rFonts w:ascii="微软雅黑" w:hAnsi="微软雅黑" w:eastAsia="微软雅黑" w:cs="微软雅黑"/>
          <w:b/>
          <w:sz w:val="22"/>
        </w:rPr>
        <w:t>1.1、采购金额和采购量分析</w:t>
      </w:r>
    </w:p>
    <w:p>
      <w:pPr>
        <w:spacing w:line="240" w:lineRule="auto"/>
      </w:pPr>
      <w:bookmarkStart w:id="29" w:name="6235-1593405282741"/>
      <w:bookmarkEnd w:id="29"/>
      <w:r>
        <w:rPr>
          <w:sz w:val="24"/>
        </w:rPr>
        <w:t>以时间为维度，观测采购量和采购金额的变化趋势。整体观测采购情况。</w:t>
      </w:r>
    </w:p>
    <w:p>
      <w:bookmarkStart w:id="30" w:name="6626-1593413880792"/>
      <w:bookmarkEnd w:id="30"/>
      <w:r>
        <w:drawing>
          <wp:inline distT="0" distB="0" distL="0" distR="0">
            <wp:extent cx="3606800" cy="2338070"/>
            <wp:effectExtent l="0" t="0" r="12700" b="5080"/>
            <wp:docPr id="2" name="Drawing 1" descr="clip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 descr="clipboard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3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</w:pPr>
      <w:bookmarkStart w:id="31" w:name="9990-1593405282741"/>
      <w:bookmarkEnd w:id="31"/>
      <w:r>
        <w:rPr>
          <w:rFonts w:ascii="微软雅黑" w:hAnsi="微软雅黑" w:eastAsia="微软雅黑" w:cs="微软雅黑"/>
          <w:b/>
          <w:sz w:val="22"/>
        </w:rPr>
        <w:t>1.2、采购总金额随时间的变化</w:t>
      </w:r>
    </w:p>
    <w:p>
      <w:pPr>
        <w:spacing w:line="240" w:lineRule="auto"/>
      </w:pPr>
      <w:bookmarkStart w:id="32" w:name="6688-1593406364458"/>
      <w:bookmarkEnd w:id="32"/>
      <w:r>
        <w:rPr>
          <w:sz w:val="24"/>
        </w:rPr>
        <w:t>观察是某项原材料影响采购总金额的波动。</w:t>
      </w:r>
    </w:p>
    <w:p>
      <w:bookmarkStart w:id="33" w:name="9410-1593413970181"/>
      <w:bookmarkEnd w:id="33"/>
      <w:r>
        <w:drawing>
          <wp:inline distT="0" distB="0" distL="0" distR="0">
            <wp:extent cx="3429000" cy="2701290"/>
            <wp:effectExtent l="0" t="0" r="0" b="3810"/>
            <wp:docPr id="3" name="Drawing 2" descr="clip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 descr="clipboard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70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</w:pPr>
      <w:bookmarkStart w:id="34" w:name="6210-1593405282741"/>
      <w:bookmarkEnd w:id="34"/>
      <w:r>
        <w:rPr>
          <w:rFonts w:ascii="微软雅黑" w:hAnsi="微软雅黑" w:eastAsia="微软雅黑" w:cs="微软雅黑"/>
          <w:b/>
          <w:sz w:val="22"/>
        </w:rPr>
        <w:t>1.3、供应商单价随时间的变化</w:t>
      </w:r>
    </w:p>
    <w:p>
      <w:bookmarkStart w:id="35" w:name="2572-1593413818925"/>
      <w:bookmarkEnd w:id="35"/>
      <w:r>
        <w:drawing>
          <wp:inline distT="0" distB="0" distL="0" distR="0">
            <wp:extent cx="2743200" cy="2043430"/>
            <wp:effectExtent l="0" t="0" r="0" b="13970"/>
            <wp:docPr id="4" name="Drawing 3" descr="clip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 descr="clipboard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4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bookmarkStart w:id="36" w:name="4730-1593409109453"/>
      <w:bookmarkEnd w:id="36"/>
      <w:r>
        <w:rPr>
          <w:sz w:val="24"/>
        </w:rPr>
        <w:t>观测原料采购总金额和单价的变化关系。采购单价的计算公式如下：</w:t>
      </w:r>
    </w:p>
    <w:p>
      <w:bookmarkStart w:id="37" w:name="6477-1593411015422"/>
      <w:bookmarkEnd w:id="37"/>
      <w:r>
        <w:drawing>
          <wp:inline distT="0" distB="0" distL="0" distR="0">
            <wp:extent cx="3200400" cy="1086485"/>
            <wp:effectExtent l="0" t="0" r="0" b="18415"/>
            <wp:docPr id="5" name="Drawing 4" descr="clip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 descr="clipboard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bookmarkStart w:id="38" w:name="1078-1593409185230"/>
      <w:bookmarkEnd w:id="38"/>
    </w:p>
    <w:p>
      <w:pPr>
        <w:spacing w:before="0" w:after="0" w:line="240" w:lineRule="auto"/>
      </w:pPr>
      <w:bookmarkStart w:id="39" w:name="7014-1593405282741"/>
      <w:bookmarkEnd w:id="39"/>
      <w:r>
        <w:rPr>
          <w:rFonts w:ascii="微软雅黑" w:hAnsi="微软雅黑" w:eastAsia="微软雅黑" w:cs="微软雅黑"/>
          <w:b/>
          <w:sz w:val="24"/>
        </w:rPr>
        <w:t>2、采购及时率和合格率分析</w:t>
      </w:r>
    </w:p>
    <w:p>
      <w:pPr>
        <w:spacing w:before="0" w:after="0" w:line="240" w:lineRule="auto"/>
      </w:pPr>
      <w:bookmarkStart w:id="40" w:name="6073-1593409358164"/>
      <w:bookmarkEnd w:id="40"/>
      <w:r>
        <w:rPr>
          <w:rFonts w:ascii="微软雅黑" w:hAnsi="微软雅黑" w:eastAsia="微软雅黑" w:cs="微软雅黑"/>
          <w:b/>
          <w:color w:val="DF402A"/>
          <w:sz w:val="22"/>
        </w:rPr>
        <w:t>该组分析共包含4个组件，用到【采购数据明细表】。整体样式和含义如下（已打码）：</w:t>
      </w:r>
    </w:p>
    <w:p>
      <w:bookmarkStart w:id="41" w:name="3422-1593410120078"/>
      <w:bookmarkEnd w:id="41"/>
      <w:r>
        <w:drawing>
          <wp:inline distT="0" distB="0" distL="0" distR="0">
            <wp:extent cx="5267325" cy="2301875"/>
            <wp:effectExtent l="0" t="0" r="9525" b="3175"/>
            <wp:docPr id="6" name="Drawing 5" descr="clip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 descr="clipboard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42" w:name="2759-1593410120078"/>
      <w:bookmarkEnd w:id="42"/>
    </w:p>
    <w:p>
      <w:pPr>
        <w:spacing w:before="0" w:after="0" w:line="240" w:lineRule="auto"/>
      </w:pPr>
      <w:bookmarkStart w:id="43" w:name="9435-1593409275348"/>
      <w:bookmarkEnd w:id="43"/>
      <w:r>
        <w:rPr>
          <w:rFonts w:ascii="微软雅黑" w:hAnsi="微软雅黑" w:eastAsia="微软雅黑" w:cs="微软雅黑"/>
          <w:b/>
          <w:sz w:val="22"/>
        </w:rPr>
        <w:t>2.1 采购合格率，及时率看板</w:t>
      </w:r>
    </w:p>
    <w:p>
      <w:pPr>
        <w:spacing w:line="240" w:lineRule="auto"/>
      </w:pPr>
      <w:bookmarkStart w:id="44" w:name="2698-1593407148855"/>
      <w:bookmarkEnd w:id="44"/>
      <w:r>
        <w:rPr>
          <w:sz w:val="24"/>
        </w:rPr>
        <w:t>通过看板可以看到，哪家供应商的采购合格率、到货及时率最低，可以针对性的联络整改</w:t>
      </w:r>
    </w:p>
    <w:p>
      <w:pPr>
        <w:spacing w:before="0" w:after="0" w:line="240" w:lineRule="auto"/>
      </w:pPr>
      <w:bookmarkStart w:id="45" w:name="3371-1593407100087"/>
      <w:bookmarkEnd w:id="45"/>
      <w:r>
        <w:rPr>
          <w:rFonts w:ascii="微软雅黑" w:hAnsi="微软雅黑" w:eastAsia="微软雅黑" w:cs="微软雅黑"/>
          <w:b/>
          <w:sz w:val="22"/>
        </w:rPr>
        <w:t>2.2 原</w:t>
      </w:r>
      <w:bookmarkStart w:id="60" w:name="_GoBack"/>
      <w:bookmarkEnd w:id="60"/>
      <w:r>
        <w:rPr>
          <w:rFonts w:ascii="微软雅黑" w:hAnsi="微软雅黑" w:eastAsia="微软雅黑" w:cs="微软雅黑"/>
          <w:b/>
          <w:sz w:val="22"/>
        </w:rPr>
        <w:t>料合格率看板</w:t>
      </w:r>
    </w:p>
    <w:p>
      <w:pPr>
        <w:spacing w:line="240" w:lineRule="auto"/>
      </w:pPr>
      <w:bookmarkStart w:id="46" w:name="3895-1593407180294"/>
      <w:bookmarkEnd w:id="46"/>
      <w:r>
        <w:rPr>
          <w:sz w:val="24"/>
        </w:rPr>
        <w:t>可以看到所有原料和供应商的合格率，对合格率有整体了解</w:t>
      </w:r>
    </w:p>
    <w:p>
      <w:pPr>
        <w:spacing w:before="0" w:after="0" w:line="240" w:lineRule="auto"/>
      </w:pPr>
      <w:bookmarkStart w:id="47" w:name="5457-1593407113329"/>
      <w:bookmarkEnd w:id="47"/>
      <w:r>
        <w:rPr>
          <w:rFonts w:ascii="微软雅黑" w:hAnsi="微软雅黑" w:eastAsia="微软雅黑" w:cs="微软雅黑"/>
          <w:b/>
          <w:sz w:val="22"/>
        </w:rPr>
        <w:t>2.3 到货及时率看板</w:t>
      </w:r>
    </w:p>
    <w:p>
      <w:pPr>
        <w:spacing w:line="240" w:lineRule="auto"/>
      </w:pPr>
      <w:bookmarkStart w:id="48" w:name="8571-1593407225146"/>
      <w:bookmarkEnd w:id="48"/>
      <w:r>
        <w:rPr>
          <w:sz w:val="24"/>
        </w:rPr>
        <w:t>可以看到所有原料和供应商的到货及时率，对到货及时率有整体了解</w:t>
      </w:r>
    </w:p>
    <w:p>
      <w:pPr>
        <w:spacing w:before="0" w:after="0" w:line="240" w:lineRule="auto"/>
      </w:pPr>
      <w:bookmarkStart w:id="49" w:name="1465-1593407121760"/>
      <w:bookmarkEnd w:id="49"/>
      <w:r>
        <w:rPr>
          <w:rFonts w:ascii="微软雅黑" w:hAnsi="微软雅黑" w:eastAsia="微软雅黑" w:cs="微软雅黑"/>
          <w:b/>
          <w:sz w:val="22"/>
        </w:rPr>
        <w:t>2.4到货及时率随时间变化看板</w:t>
      </w:r>
    </w:p>
    <w:p>
      <w:pPr>
        <w:spacing w:line="240" w:lineRule="auto"/>
      </w:pPr>
      <w:bookmarkStart w:id="50" w:name="3089-1593407279472"/>
      <w:bookmarkEnd w:id="50"/>
      <w:r>
        <w:rPr>
          <w:sz w:val="24"/>
        </w:rPr>
        <w:t>单项分析某家供应商/原材料的到货及时率变化</w:t>
      </w:r>
    </w:p>
    <w:p>
      <w:pPr>
        <w:spacing w:line="240" w:lineRule="auto"/>
      </w:pPr>
      <w:bookmarkStart w:id="51" w:name="5751-1593407144855"/>
      <w:bookmarkEnd w:id="51"/>
    </w:p>
    <w:p>
      <w:pPr>
        <w:spacing w:before="0" w:after="0" w:line="240" w:lineRule="auto"/>
      </w:pPr>
      <w:bookmarkStart w:id="52" w:name="3718-1593405282742"/>
      <w:bookmarkEnd w:id="52"/>
      <w:r>
        <w:rPr>
          <w:rFonts w:ascii="微软雅黑" w:hAnsi="微软雅黑" w:eastAsia="微软雅黑" w:cs="微软雅黑"/>
          <w:b/>
          <w:color w:val="0A1220"/>
          <w:sz w:val="30"/>
          <w:highlight w:val="white"/>
        </w:rPr>
        <w:t>四、结合看板的业务洞察</w:t>
      </w:r>
    </w:p>
    <w:p>
      <w:pPr>
        <w:spacing w:line="240" w:lineRule="auto"/>
      </w:pPr>
      <w:bookmarkStart w:id="53" w:name="3254-1593405282742"/>
      <w:bookmarkEnd w:id="53"/>
      <w:r>
        <w:rPr>
          <w:sz w:val="24"/>
        </w:rPr>
        <w:t>根据以上分析，进行以下决策</w:t>
      </w:r>
    </w:p>
    <w:p>
      <w:pPr>
        <w:spacing w:line="240" w:lineRule="auto"/>
      </w:pPr>
      <w:bookmarkStart w:id="54" w:name="6070-1593409703573"/>
      <w:bookmarkEnd w:id="54"/>
      <w:r>
        <w:rPr>
          <w:sz w:val="24"/>
        </w:rPr>
        <w:t>1、下个月起开始积极做好与各厂商关于原料A的沟通工作，了解供应商对原料A每月的生产量及单价。调整购买数量。</w:t>
      </w:r>
    </w:p>
    <w:p>
      <w:pPr>
        <w:spacing w:line="240" w:lineRule="auto"/>
      </w:pPr>
      <w:bookmarkStart w:id="55" w:name="2562-1593409706677"/>
      <w:bookmarkEnd w:id="55"/>
    </w:p>
    <w:p>
      <w:pPr>
        <w:spacing w:line="240" w:lineRule="auto"/>
      </w:pPr>
      <w:bookmarkStart w:id="56" w:name="8433-1593409703846"/>
      <w:bookmarkEnd w:id="56"/>
      <w:r>
        <w:rPr>
          <w:sz w:val="24"/>
        </w:rPr>
        <w:t>2、加强对原料的关注度、以及分别对供应商A沟通合格率、供应商B沟通到货及时率。</w:t>
      </w:r>
    </w:p>
    <w:p>
      <w:bookmarkStart w:id="57" w:name="8288-1593409703846"/>
      <w:bookmarkEnd w:id="57"/>
      <w:bookmarkStart w:id="58" w:name="5812-1593412622394"/>
      <w:bookmarkEnd w:id="58"/>
      <w:bookmarkStart w:id="59" w:name="3355-1593413512194"/>
      <w:bookmarkEnd w:id="59"/>
    </w:p>
    <w:sectPr>
      <w:pgSz w:w="11906" w:h="16838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compat>
    <w:useFELayout/>
    <w:splitPgBreakAndParaMark/>
    <w:compatSetting w:name="compatibilityMode" w:uri="http://schemas.microsoft.com/office/word" w:val="12"/>
  </w:compat>
  <w:rsids>
    <w:rsidRoot w:val="00000000"/>
    <w:rsid w:val="726679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Office_11.1.0.9740_F1E327BC-269C-435d-A152-05C5408002CA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2020-06-30T11:19:00Z</dcterms:created>
  <dc:creator>Apache POI</dc:creator>
  <cp:lastModifiedBy>马天睿</cp:lastModifiedBy>
  <dcterms:modified xsi:type="dcterms:W3CDTF">2020-06-30T11:20:37Z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